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1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tblCellMar>
        <w:tblLook w:val="04A0" w:firstRow="1" w:lastRow="0" w:firstColumn="1" w:lastColumn="0" w:noHBand="0" w:noVBand="1"/>
      </w:tblPr>
      <w:tblGrid>
        <w:gridCol w:w="6871"/>
        <w:gridCol w:w="1175"/>
        <w:gridCol w:w="1134"/>
      </w:tblGrid>
      <w:tr w:rsidR="004A009B" w:rsidRPr="00363F56" w:rsidTr="004A009B">
        <w:tc>
          <w:tcPr>
            <w:tcW w:w="6871" w:type="dxa"/>
          </w:tcPr>
          <w:p w:rsidR="006D2EC0" w:rsidRPr="006D2EC0" w:rsidRDefault="006D2EC0" w:rsidP="006D2EC0">
            <w:pPr>
              <w:tabs>
                <w:tab w:val="left" w:pos="993"/>
              </w:tabs>
              <w:spacing w:before="60"/>
              <w:rPr>
                <w:rFonts w:eastAsia="Times New Roman"/>
                <w:sz w:val="20"/>
                <w:szCs w:val="20"/>
                <w:lang w:val="fr-FR"/>
              </w:rPr>
            </w:pPr>
            <w:r w:rsidRPr="006D2EC0">
              <w:rPr>
                <w:rFonts w:eastAsia="Times New Roman"/>
                <w:b/>
                <w:sz w:val="20"/>
                <w:szCs w:val="20"/>
                <w:lang w:val="fr-FR"/>
              </w:rPr>
              <w:t>091001</w:t>
            </w:r>
            <w:r w:rsidRPr="006D2EC0">
              <w:rPr>
                <w:rFonts w:eastAsia="Times New Roman"/>
                <w:b/>
                <w:sz w:val="20"/>
                <w:szCs w:val="20"/>
                <w:lang w:val="fr-FR"/>
              </w:rPr>
              <w:br/>
            </w:r>
            <w:r w:rsidRPr="006D2EC0">
              <w:rPr>
                <w:rFonts w:eastAsia="Times New Roman"/>
                <w:sz w:val="20"/>
                <w:szCs w:val="20"/>
                <w:u w:val="single"/>
                <w:lang w:val="fr-FR"/>
              </w:rPr>
              <w:t>Données techniques</w:t>
            </w:r>
          </w:p>
          <w:p w:rsidR="006D2EC0" w:rsidRPr="006D2EC0" w:rsidRDefault="006D2EC0" w:rsidP="006D2EC0">
            <w:pPr>
              <w:tabs>
                <w:tab w:val="left" w:pos="993"/>
              </w:tabs>
              <w:spacing w:before="60"/>
              <w:rPr>
                <w:rFonts w:eastAsia="Times New Roman"/>
                <w:sz w:val="20"/>
                <w:szCs w:val="20"/>
                <w:lang w:val="fr-FR"/>
              </w:rPr>
            </w:pPr>
            <w:r w:rsidRPr="006D2EC0">
              <w:rPr>
                <w:rFonts w:eastAsia="Times New Roman"/>
                <w:sz w:val="20"/>
                <w:szCs w:val="20"/>
                <w:lang w:val="fr-FR"/>
              </w:rPr>
              <w:t xml:space="preserve">Chambre </w:t>
            </w:r>
            <w:proofErr w:type="spellStart"/>
            <w:r w:rsidRPr="006D2EC0">
              <w:rPr>
                <w:rFonts w:eastAsia="Times New Roman"/>
                <w:sz w:val="20"/>
                <w:szCs w:val="20"/>
                <w:lang w:val="fr-FR"/>
              </w:rPr>
              <w:t>StormTech</w:t>
            </w:r>
            <w:proofErr w:type="spellEnd"/>
            <w:r w:rsidR="0002316D">
              <w:rPr>
                <w:rFonts w:eastAsia="Times New Roman" w:cs="Tahoma"/>
                <w:sz w:val="20"/>
                <w:szCs w:val="20"/>
                <w:lang w:val="fr-FR"/>
              </w:rPr>
              <w:t>®</w:t>
            </w:r>
            <w:r w:rsidRPr="006D2EC0">
              <w:rPr>
                <w:rFonts w:eastAsia="Times New Roman"/>
                <w:sz w:val="20"/>
                <w:szCs w:val="20"/>
                <w:lang w:val="fr-FR"/>
              </w:rPr>
              <w:t xml:space="preserve"> MC-3500 sous avis technique CST</w:t>
            </w:r>
            <w:r w:rsidR="00CC2B65">
              <w:rPr>
                <w:rFonts w:eastAsia="Times New Roman"/>
                <w:sz w:val="20"/>
                <w:szCs w:val="20"/>
                <w:lang w:val="fr-FR"/>
              </w:rPr>
              <w:t>B</w:t>
            </w:r>
            <w:r w:rsidRPr="006D2EC0">
              <w:rPr>
                <w:rFonts w:eastAsia="Times New Roman"/>
                <w:sz w:val="20"/>
                <w:szCs w:val="20"/>
                <w:lang w:val="fr-FR"/>
              </w:rPr>
              <w:t xml:space="preserve"> pour systèmes décentralisés de rétention, d’infiltration et de stockage des eaux pluviales, en PP entièrement recyclable, fabrication par injection haute pression, de couleur  jaune, dimensions longueur x largeur x hauteur = 2285 x 1955 x 1145 mm, poids de 56,5 kg, volume de stockage important : 3,11 m</w:t>
            </w:r>
            <w:r w:rsidRPr="006D2EC0">
              <w:rPr>
                <w:rFonts w:eastAsia="Times New Roman"/>
                <w:sz w:val="20"/>
                <w:szCs w:val="20"/>
                <w:vertAlign w:val="superscript"/>
                <w:lang w:val="fr-FR"/>
              </w:rPr>
              <w:t xml:space="preserve">3 </w:t>
            </w:r>
            <w:r w:rsidRPr="006D2EC0">
              <w:rPr>
                <w:rFonts w:eastAsia="Times New Roman"/>
                <w:sz w:val="20"/>
                <w:szCs w:val="20"/>
                <w:lang w:val="fr-FR"/>
              </w:rPr>
              <w:t>(sans gravier), 5,06 m</w:t>
            </w:r>
            <w:r w:rsidRPr="006D2EC0">
              <w:rPr>
                <w:rFonts w:eastAsia="Times New Roman"/>
                <w:sz w:val="20"/>
                <w:szCs w:val="20"/>
                <w:vertAlign w:val="superscript"/>
                <w:lang w:val="fr-FR"/>
              </w:rPr>
              <w:t xml:space="preserve">3 </w:t>
            </w:r>
            <w:r w:rsidRPr="006D2EC0">
              <w:rPr>
                <w:rFonts w:eastAsia="Times New Roman"/>
                <w:sz w:val="20"/>
                <w:szCs w:val="20"/>
                <w:lang w:val="fr-FR"/>
              </w:rPr>
              <w:t>(avec gravier), surface de rétention/infiltration de 4,5 m</w:t>
            </w:r>
            <w:r w:rsidRPr="006D2EC0">
              <w:rPr>
                <w:rFonts w:eastAsia="Times New Roman"/>
                <w:sz w:val="20"/>
                <w:szCs w:val="20"/>
                <w:vertAlign w:val="superscript"/>
                <w:lang w:val="fr-FR"/>
              </w:rPr>
              <w:t>2</w:t>
            </w:r>
            <w:r w:rsidRPr="006D2EC0">
              <w:rPr>
                <w:rFonts w:eastAsia="Times New Roman"/>
                <w:sz w:val="20"/>
                <w:szCs w:val="20"/>
                <w:lang w:val="fr-FR"/>
              </w:rPr>
              <w:t xml:space="preserve"> par chambre, parois internes lisses, parois externes profilées.</w:t>
            </w:r>
          </w:p>
          <w:p w:rsidR="006D2EC0" w:rsidRPr="006D2EC0" w:rsidRDefault="006D2EC0" w:rsidP="006D2EC0">
            <w:pPr>
              <w:tabs>
                <w:tab w:val="left" w:pos="993"/>
              </w:tabs>
              <w:spacing w:before="60"/>
              <w:rPr>
                <w:rFonts w:eastAsia="Times New Roman"/>
                <w:sz w:val="20"/>
                <w:szCs w:val="20"/>
                <w:u w:val="single"/>
                <w:lang w:val="fr-FR"/>
              </w:rPr>
            </w:pPr>
            <w:r w:rsidRPr="006D2EC0">
              <w:rPr>
                <w:rFonts w:eastAsia="Times New Roman"/>
                <w:sz w:val="20"/>
                <w:szCs w:val="20"/>
                <w:u w:val="single"/>
                <w:lang w:val="fr-FR"/>
              </w:rPr>
              <w:t>Indications :</w:t>
            </w:r>
          </w:p>
          <w:p w:rsidR="0039586A" w:rsidRPr="0039586A" w:rsidRDefault="006D2EC0" w:rsidP="006D2EC0">
            <w:pPr>
              <w:rPr>
                <w:rFonts w:ascii="Calibri" w:eastAsia="Calibri" w:hAnsi="Calibri" w:cs="Times New Roman"/>
                <w:spacing w:val="0"/>
                <w:lang w:val="fr-FR"/>
              </w:rPr>
            </w:pPr>
            <w:r w:rsidRPr="006D2EC0">
              <w:rPr>
                <w:rFonts w:eastAsia="Times New Roman"/>
                <w:sz w:val="20"/>
                <w:szCs w:val="20"/>
                <w:lang w:val="fr-FR"/>
              </w:rPr>
              <w:t>La structure en arche du tunnel en combination avec le gravier d’une granulométrie de 20/50</w:t>
            </w:r>
            <w:r>
              <w:rPr>
                <w:rFonts w:eastAsia="Times New Roman"/>
                <w:sz w:val="20"/>
                <w:szCs w:val="20"/>
                <w:lang w:val="fr-FR"/>
              </w:rPr>
              <w:t xml:space="preserve"> </w:t>
            </w:r>
            <w:r w:rsidRPr="006D2EC0">
              <w:rPr>
                <w:rFonts w:eastAsia="Times New Roman"/>
                <w:sz w:val="20"/>
                <w:szCs w:val="20"/>
                <w:lang w:val="fr-FR"/>
              </w:rPr>
              <w:t xml:space="preserve">confère une très haute stabilité au système ; résistance à la circulation continue : HS20 convoi type </w:t>
            </w:r>
            <w:proofErr w:type="spellStart"/>
            <w:r w:rsidRPr="006D2EC0">
              <w:rPr>
                <w:rFonts w:eastAsia="Times New Roman"/>
                <w:sz w:val="20"/>
                <w:szCs w:val="20"/>
                <w:lang w:val="fr-FR"/>
              </w:rPr>
              <w:t>Bc</w:t>
            </w:r>
            <w:proofErr w:type="spellEnd"/>
            <w:r w:rsidRPr="006D2EC0">
              <w:rPr>
                <w:rFonts w:eastAsia="Times New Roman"/>
                <w:sz w:val="20"/>
                <w:szCs w:val="20"/>
                <w:lang w:val="fr-FR"/>
              </w:rPr>
              <w:t xml:space="preserve"> « PL » conformément aux instructions de pose. Le tunnel </w:t>
            </w:r>
            <w:r w:rsidR="00FA3210">
              <w:rPr>
                <w:rFonts w:eastAsia="Times New Roman"/>
                <w:sz w:val="20"/>
                <w:szCs w:val="20"/>
                <w:lang w:val="fr-FR"/>
              </w:rPr>
              <w:t>débourbeur</w:t>
            </w:r>
            <w:r w:rsidRPr="006D2EC0">
              <w:rPr>
                <w:rFonts w:eastAsia="Times New Roman"/>
                <w:sz w:val="20"/>
                <w:szCs w:val="20"/>
                <w:lang w:val="fr-FR"/>
              </w:rPr>
              <w:t xml:space="preserve"> permet une décantation supplémentaire. Le Géotextile tissé placé sous le tunnel permet une maintenance rapide et</w:t>
            </w:r>
            <w:r>
              <w:rPr>
                <w:rFonts w:eastAsia="Times New Roman"/>
                <w:sz w:val="20"/>
                <w:szCs w:val="20"/>
                <w:lang w:val="fr-FR"/>
              </w:rPr>
              <w:t xml:space="preserve"> un nettoyage</w:t>
            </w:r>
            <w:r w:rsidRPr="006D2EC0">
              <w:rPr>
                <w:rFonts w:eastAsia="Times New Roman"/>
                <w:sz w:val="20"/>
                <w:szCs w:val="20"/>
                <w:lang w:val="fr-FR"/>
              </w:rPr>
              <w:t xml:space="preserve"> facile ; ce dernier se fera à l’aide d’une buse de rinçage avec max. 170 bars. </w:t>
            </w:r>
            <w:r w:rsidR="0002316D" w:rsidRPr="006D2EC0">
              <w:rPr>
                <w:rFonts w:eastAsia="Times New Roman"/>
                <w:sz w:val="20"/>
                <w:szCs w:val="20"/>
                <w:lang w:val="fr-FR"/>
              </w:rPr>
              <w:t>Par</w:t>
            </w:r>
            <w:r w:rsidRPr="006D2EC0">
              <w:rPr>
                <w:rFonts w:eastAsia="Times New Roman"/>
                <w:sz w:val="20"/>
                <w:szCs w:val="20"/>
                <w:lang w:val="fr-FR"/>
              </w:rPr>
              <w:t xml:space="preserve"> </w:t>
            </w:r>
            <w:r w:rsidR="0002316D">
              <w:rPr>
                <w:rFonts w:eastAsia="Times New Roman"/>
                <w:sz w:val="20"/>
                <w:szCs w:val="20"/>
                <w:lang w:val="fr-FR"/>
              </w:rPr>
              <w:t>leur</w:t>
            </w:r>
            <w:r w:rsidRPr="006D2EC0">
              <w:rPr>
                <w:rFonts w:eastAsia="Times New Roman"/>
                <w:sz w:val="20"/>
                <w:szCs w:val="20"/>
                <w:lang w:val="fr-FR"/>
              </w:rPr>
              <w:t xml:space="preserve"> poids de 17,5 kg et </w:t>
            </w:r>
            <w:r w:rsidR="0002316D">
              <w:rPr>
                <w:rFonts w:eastAsia="Times New Roman"/>
                <w:sz w:val="20"/>
                <w:szCs w:val="20"/>
                <w:lang w:val="fr-FR"/>
              </w:rPr>
              <w:t>la pose</w:t>
            </w:r>
            <w:r w:rsidRPr="006D2EC0">
              <w:rPr>
                <w:rFonts w:eastAsia="Times New Roman"/>
                <w:sz w:val="20"/>
                <w:szCs w:val="20"/>
                <w:lang w:val="fr-FR"/>
              </w:rPr>
              <w:t xml:space="preserve"> par emboitement, les chambres peuvent être manipulées facilement par deux personnes. Les chambres sont superposées sur une palette. Le système entier doit être enrobé d’un géotextile non tissé lorsqu’ il s’agit d’un système d’infiltration et </w:t>
            </w:r>
            <w:r>
              <w:rPr>
                <w:rFonts w:eastAsia="Times New Roman"/>
                <w:sz w:val="20"/>
                <w:szCs w:val="20"/>
                <w:lang w:val="fr-FR"/>
              </w:rPr>
              <w:t>complété par</w:t>
            </w:r>
            <w:r w:rsidRPr="006D2EC0">
              <w:rPr>
                <w:rFonts w:eastAsia="Times New Roman"/>
                <w:sz w:val="20"/>
                <w:szCs w:val="20"/>
                <w:lang w:val="fr-FR"/>
              </w:rPr>
              <w:t xml:space="preserve"> une couche de membrane en PE-HD en cas de rétention. Livraison et pose sont à effectuer selon les instructions du fabricant.</w:t>
            </w:r>
            <w:r w:rsidRPr="006D2EC0">
              <w:rPr>
                <w:rFonts w:eastAsia="Times New Roman"/>
                <w:b/>
                <w:sz w:val="20"/>
                <w:szCs w:val="20"/>
                <w:lang w:val="fr-FR"/>
              </w:rPr>
              <w:br/>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363F56" w:rsidTr="004A009B">
        <w:tc>
          <w:tcPr>
            <w:tcW w:w="6871" w:type="dxa"/>
          </w:tcPr>
          <w:p w:rsidR="006D2EC0" w:rsidRPr="006D2EC0" w:rsidRDefault="006D2EC0" w:rsidP="006D2EC0">
            <w:pPr>
              <w:tabs>
                <w:tab w:val="left" w:pos="993"/>
              </w:tabs>
              <w:spacing w:before="60"/>
              <w:rPr>
                <w:rFonts w:eastAsia="Times New Roman"/>
                <w:b/>
                <w:sz w:val="20"/>
                <w:szCs w:val="20"/>
                <w:lang w:val="fr-FR"/>
              </w:rPr>
            </w:pPr>
            <w:r w:rsidRPr="006D2EC0">
              <w:rPr>
                <w:rFonts w:eastAsia="Times New Roman"/>
                <w:b/>
                <w:sz w:val="20"/>
                <w:szCs w:val="20"/>
                <w:lang w:val="fr-FR"/>
              </w:rPr>
              <w:t>091040</w:t>
            </w:r>
            <w:r w:rsidRPr="006D2EC0">
              <w:rPr>
                <w:rFonts w:eastAsia="Times New Roman"/>
                <w:b/>
                <w:sz w:val="20"/>
                <w:szCs w:val="20"/>
                <w:lang w:val="fr-FR"/>
              </w:rPr>
              <w:br/>
            </w:r>
            <w:r w:rsidRPr="006D2EC0">
              <w:rPr>
                <w:rFonts w:eastAsia="Times New Roman"/>
                <w:sz w:val="20"/>
                <w:szCs w:val="20"/>
                <w:lang w:val="fr-FR"/>
              </w:rPr>
              <w:t xml:space="preserve">Embout </w:t>
            </w:r>
            <w:proofErr w:type="spellStart"/>
            <w:r w:rsidRPr="006D2EC0">
              <w:rPr>
                <w:rFonts w:eastAsia="Times New Roman"/>
                <w:sz w:val="20"/>
                <w:szCs w:val="20"/>
                <w:lang w:val="fr-FR"/>
              </w:rPr>
              <w:t>StormTech</w:t>
            </w:r>
            <w:proofErr w:type="spellEnd"/>
            <w:r w:rsidRPr="006D2EC0">
              <w:rPr>
                <w:rFonts w:eastAsia="Times New Roman"/>
                <w:sz w:val="20"/>
                <w:szCs w:val="20"/>
                <w:lang w:val="fr-FR"/>
              </w:rPr>
              <w:t xml:space="preserve"> MC-3500 sous avis technique CST</w:t>
            </w:r>
            <w:r w:rsidR="00FA3210">
              <w:rPr>
                <w:rFonts w:eastAsia="Times New Roman"/>
                <w:sz w:val="20"/>
                <w:szCs w:val="20"/>
                <w:lang w:val="fr-FR"/>
              </w:rPr>
              <w:t>B</w:t>
            </w:r>
            <w:r w:rsidRPr="006D2EC0">
              <w:rPr>
                <w:rFonts w:eastAsia="Times New Roman"/>
                <w:sz w:val="20"/>
                <w:szCs w:val="20"/>
                <w:lang w:val="fr-FR"/>
              </w:rPr>
              <w:t xml:space="preserve"> pour fermeture des tunnels. En polypropylène (PP) entièrement recyclable, fabrication par injection haute pression, de couleur jaune, dimensions L x l x h = 653 x 1905 x 1143 mm, poids 19,5 kg, volume de stockage de 0,44 m³ (sans gravier).</w:t>
            </w:r>
            <w:r w:rsidRPr="006D2EC0">
              <w:rPr>
                <w:rFonts w:eastAsia="Times New Roman"/>
                <w:sz w:val="20"/>
                <w:szCs w:val="20"/>
                <w:lang w:val="fr-FR"/>
              </w:rPr>
              <w:br/>
              <w:t>Possibilité de raccordement de tuyaux DN 100 à DN 600 par une admission pré-perforée.</w:t>
            </w:r>
            <w:r w:rsidRPr="006D2EC0">
              <w:rPr>
                <w:rFonts w:eastAsia="Times New Roman"/>
                <w:sz w:val="20"/>
                <w:szCs w:val="20"/>
                <w:lang w:val="fr-FR"/>
              </w:rPr>
              <w:br/>
              <w:t>Livraison et pose sont à effectuer selon les instructions du fabricant.</w:t>
            </w:r>
          </w:p>
          <w:p w:rsidR="004A009B" w:rsidRPr="00FA3210" w:rsidRDefault="001F03E3" w:rsidP="001F03E3">
            <w:pPr>
              <w:rPr>
                <w:rFonts w:ascii="Calibri" w:eastAsia="Calibri" w:hAnsi="Calibri" w:cs="Times New Roman"/>
                <w:spacing w:val="0"/>
                <w:lang w:val="fr-FR"/>
              </w:rPr>
            </w:pPr>
            <w:r w:rsidRPr="00FA3210">
              <w:rPr>
                <w:rFonts w:eastAsia="Times New Roman"/>
                <w:b/>
                <w:sz w:val="20"/>
                <w:szCs w:val="20"/>
                <w:lang w:val="fr-FR"/>
              </w:rPr>
              <w:t xml:space="preserve"> </w:t>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363F56" w:rsidTr="004A009B">
        <w:trPr>
          <w:trHeight w:val="227"/>
        </w:trPr>
        <w:tc>
          <w:tcPr>
            <w:tcW w:w="6871" w:type="dxa"/>
          </w:tcPr>
          <w:p w:rsidR="006D2EC0" w:rsidRPr="006D2EC0" w:rsidRDefault="006D2EC0" w:rsidP="006D2EC0">
            <w:pPr>
              <w:rPr>
                <w:rFonts w:cs="Tahoma"/>
                <w:b/>
                <w:color w:val="000000" w:themeColor="text1"/>
                <w:spacing w:val="0"/>
                <w:sz w:val="20"/>
                <w:szCs w:val="20"/>
                <w:lang w:val="fr-FR"/>
              </w:rPr>
            </w:pPr>
            <w:r w:rsidRPr="006D2EC0">
              <w:rPr>
                <w:rFonts w:cs="Tahoma"/>
                <w:b/>
                <w:color w:val="000000" w:themeColor="text1"/>
                <w:spacing w:val="0"/>
                <w:sz w:val="20"/>
                <w:szCs w:val="20"/>
                <w:lang w:val="fr-FR"/>
              </w:rPr>
              <w:t>091092</w:t>
            </w:r>
            <w:r w:rsidRPr="006D2EC0">
              <w:rPr>
                <w:rFonts w:cs="Tahoma"/>
                <w:b/>
                <w:color w:val="000000" w:themeColor="text1"/>
                <w:spacing w:val="0"/>
                <w:sz w:val="20"/>
                <w:szCs w:val="20"/>
                <w:lang w:val="fr-FR"/>
              </w:rPr>
              <w:br/>
            </w:r>
            <w:r w:rsidR="00FA3210" w:rsidRPr="006D2EC0">
              <w:rPr>
                <w:rFonts w:cs="Tahoma"/>
                <w:color w:val="000000" w:themeColor="text1"/>
                <w:spacing w:val="0"/>
                <w:sz w:val="20"/>
                <w:szCs w:val="20"/>
                <w:lang w:val="fr-FR"/>
              </w:rPr>
              <w:t>Géotextile</w:t>
            </w:r>
            <w:r w:rsidRPr="006D2EC0">
              <w:rPr>
                <w:rFonts w:cs="Tahoma"/>
                <w:color w:val="000000" w:themeColor="text1"/>
                <w:spacing w:val="0"/>
                <w:sz w:val="20"/>
                <w:szCs w:val="20"/>
                <w:lang w:val="fr-FR"/>
              </w:rPr>
              <w:t xml:space="preserve"> tissé en polypropylène (PP), couleur : noir, imputrescible, haute résistance aux rayons UV, utilisé pour la décantation et l’abattement des polluants dans le tunnel </w:t>
            </w:r>
            <w:r w:rsidR="00FA3210">
              <w:rPr>
                <w:rFonts w:cs="Tahoma"/>
                <w:color w:val="000000" w:themeColor="text1"/>
                <w:spacing w:val="0"/>
                <w:sz w:val="20"/>
                <w:szCs w:val="20"/>
                <w:lang w:val="fr-FR"/>
              </w:rPr>
              <w:t>débourbeur</w:t>
            </w:r>
            <w:r w:rsidRPr="006D2EC0">
              <w:rPr>
                <w:rFonts w:cs="Tahoma"/>
                <w:color w:val="000000" w:themeColor="text1"/>
                <w:spacing w:val="0"/>
                <w:sz w:val="20"/>
                <w:szCs w:val="20"/>
                <w:lang w:val="fr-FR"/>
              </w:rPr>
              <w:t xml:space="preserve"> posée en bandes doubles, résistance à 3 kN de compression, perméabilité d’eau : 0,02 m/s, </w:t>
            </w:r>
            <w:r w:rsidR="00FA3210" w:rsidRPr="006D2EC0">
              <w:rPr>
                <w:rFonts w:cs="Tahoma"/>
                <w:color w:val="000000" w:themeColor="text1"/>
                <w:spacing w:val="0"/>
                <w:sz w:val="20"/>
                <w:szCs w:val="20"/>
                <w:lang w:val="fr-FR"/>
              </w:rPr>
              <w:t>mailles serrées</w:t>
            </w:r>
            <w:r w:rsidRPr="006D2EC0">
              <w:rPr>
                <w:rFonts w:cs="Tahoma"/>
                <w:color w:val="000000" w:themeColor="text1"/>
                <w:spacing w:val="0"/>
                <w:sz w:val="20"/>
                <w:szCs w:val="20"/>
                <w:lang w:val="fr-FR"/>
              </w:rPr>
              <w:t xml:space="preserve"> de 0,3 mm, mesure de surface 127 g/ m², largeur 4,50 m.</w:t>
            </w:r>
            <w:r w:rsidRPr="006D2EC0">
              <w:rPr>
                <w:rFonts w:cs="Tahoma"/>
                <w:color w:val="000000" w:themeColor="text1"/>
                <w:spacing w:val="0"/>
                <w:sz w:val="20"/>
                <w:szCs w:val="20"/>
                <w:lang w:val="fr-FR"/>
              </w:rPr>
              <w:br/>
              <w:t>Livraison et pose sont à effectuer selon les instructions du fabricant.</w:t>
            </w:r>
          </w:p>
          <w:p w:rsidR="0039586A" w:rsidRPr="00FA3210" w:rsidRDefault="0039586A" w:rsidP="0039586A">
            <w:pPr>
              <w:tabs>
                <w:tab w:val="left" w:pos="284"/>
              </w:tabs>
              <w:spacing w:before="120"/>
              <w:jc w:val="right"/>
              <w:rPr>
                <w:lang w:val="fr-FR"/>
              </w:rPr>
            </w:pP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363F56" w:rsidTr="004A009B">
        <w:tc>
          <w:tcPr>
            <w:tcW w:w="6871" w:type="dxa"/>
          </w:tcPr>
          <w:p w:rsidR="0039586A" w:rsidRPr="0039586A" w:rsidRDefault="006D2EC0" w:rsidP="0039586A">
            <w:pPr>
              <w:tabs>
                <w:tab w:val="left" w:pos="993"/>
              </w:tabs>
              <w:spacing w:before="60"/>
              <w:rPr>
                <w:rFonts w:eastAsia="Times New Roman"/>
                <w:sz w:val="20"/>
                <w:szCs w:val="20"/>
                <w:lang w:val="fr-FR"/>
              </w:rPr>
            </w:pPr>
            <w:r w:rsidRPr="006D2EC0">
              <w:rPr>
                <w:rFonts w:eastAsia="Times New Roman"/>
                <w:b/>
                <w:sz w:val="20"/>
                <w:szCs w:val="20"/>
                <w:lang w:val="fr-FR"/>
              </w:rPr>
              <w:t>091093</w:t>
            </w:r>
            <w:r w:rsidRPr="006D2EC0">
              <w:rPr>
                <w:rFonts w:eastAsia="Times New Roman"/>
                <w:b/>
                <w:sz w:val="20"/>
                <w:szCs w:val="20"/>
                <w:lang w:val="fr-FR"/>
              </w:rPr>
              <w:br/>
            </w:r>
            <w:r w:rsidRPr="006D2EC0">
              <w:rPr>
                <w:rFonts w:eastAsia="Times New Roman"/>
                <w:sz w:val="20"/>
                <w:szCs w:val="20"/>
                <w:lang w:val="fr-FR"/>
              </w:rPr>
              <w:t>Géotextile en polypropylène (PP) , renforcement</w:t>
            </w:r>
            <w:bookmarkStart w:id="0" w:name="_GoBack"/>
            <w:bookmarkEnd w:id="0"/>
            <w:r w:rsidRPr="006D2EC0">
              <w:rPr>
                <w:rFonts w:eastAsia="Times New Roman"/>
                <w:sz w:val="20"/>
                <w:szCs w:val="20"/>
                <w:lang w:val="fr-FR"/>
              </w:rPr>
              <w:t xml:space="preserve"> mécanique avec fixation thermique, couleur : blanc, résistant à la décomposition, haute tolérance contre les rayons UV, utilisé pour la décantation et l’abattement des polluants dans le tunnel </w:t>
            </w:r>
            <w:r w:rsidR="00FA3210">
              <w:rPr>
                <w:rFonts w:eastAsia="Times New Roman"/>
                <w:sz w:val="20"/>
                <w:szCs w:val="20"/>
                <w:lang w:val="fr-FR"/>
              </w:rPr>
              <w:t>débourbeur</w:t>
            </w:r>
            <w:r w:rsidR="00F620F3">
              <w:rPr>
                <w:rFonts w:eastAsia="Times New Roman"/>
                <w:sz w:val="20"/>
                <w:szCs w:val="20"/>
                <w:lang w:val="fr-FR"/>
              </w:rPr>
              <w:t>,</w:t>
            </w:r>
            <w:r w:rsidRPr="006D2EC0">
              <w:rPr>
                <w:rFonts w:eastAsia="Times New Roman"/>
                <w:sz w:val="20"/>
                <w:szCs w:val="20"/>
                <w:lang w:val="fr-FR"/>
              </w:rPr>
              <w:t xml:space="preserve"> classe 3 de résistance des géotextiles, résistance à 2,2 kN de </w:t>
            </w:r>
            <w:r w:rsidR="00FA3210" w:rsidRPr="006D2EC0">
              <w:rPr>
                <w:rFonts w:eastAsia="Times New Roman"/>
                <w:sz w:val="20"/>
                <w:szCs w:val="20"/>
                <w:lang w:val="fr-FR"/>
              </w:rPr>
              <w:t>compression</w:t>
            </w:r>
            <w:r w:rsidRPr="006D2EC0">
              <w:rPr>
                <w:rFonts w:eastAsia="Times New Roman"/>
                <w:sz w:val="20"/>
                <w:szCs w:val="20"/>
                <w:lang w:val="fr-FR"/>
              </w:rPr>
              <w:t>, vitesse de passage de l’eau: 0,09 m/s, maillage de 0,1 mm, mesure de surface 200 g/ m², épaisseur 2,37 mm (pour 2,0 kPa), épaisseur : 4,40 m</w:t>
            </w:r>
            <w:r w:rsidRPr="006D2EC0">
              <w:rPr>
                <w:rFonts w:eastAsia="Times New Roman"/>
                <w:sz w:val="20"/>
                <w:szCs w:val="20"/>
                <w:lang w:val="fr-FR"/>
              </w:rPr>
              <w:br/>
              <w:t>Livraison et pose sont à effectuer selon les instructions du fabricant.</w:t>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bl>
    <w:p w:rsidR="008D279A" w:rsidRDefault="008D279A" w:rsidP="0039586A"/>
    <w:p w:rsidR="0039586A" w:rsidRPr="000F3D4B" w:rsidRDefault="0039586A" w:rsidP="0039586A">
      <w:pPr>
        <w:spacing w:after="0"/>
        <w:rPr>
          <w:rFonts w:eastAsia="Calibri" w:cs="Tahoma"/>
          <w:spacing w:val="0"/>
          <w:sz w:val="20"/>
          <w:szCs w:val="20"/>
          <w:u w:val="single"/>
          <w:lang w:val="fr-FR"/>
        </w:rPr>
      </w:pPr>
      <w:r w:rsidRPr="000F3D4B">
        <w:rPr>
          <w:rFonts w:eastAsia="Calibri" w:cs="Tahoma"/>
          <w:spacing w:val="0"/>
          <w:sz w:val="20"/>
          <w:szCs w:val="20"/>
          <w:u w:val="single"/>
          <w:lang w:val="fr-FR"/>
        </w:rPr>
        <w:t>Source de référence :</w:t>
      </w:r>
    </w:p>
    <w:p w:rsidR="0039586A" w:rsidRPr="000F3D4B" w:rsidRDefault="0039586A" w:rsidP="0039586A">
      <w:pPr>
        <w:spacing w:after="0"/>
        <w:rPr>
          <w:rFonts w:eastAsia="Calibri" w:cs="Tahoma"/>
          <w:spacing w:val="0"/>
          <w:sz w:val="20"/>
          <w:szCs w:val="20"/>
          <w:lang w:val="fr-FR"/>
        </w:rPr>
      </w:pPr>
      <w:r w:rsidRPr="000F3D4B">
        <w:rPr>
          <w:rFonts w:eastAsia="Calibri" w:cs="Tahoma"/>
          <w:spacing w:val="0"/>
          <w:sz w:val="20"/>
          <w:szCs w:val="20"/>
          <w:lang w:val="fr-FR"/>
        </w:rPr>
        <w:t>BIRCO France SAS</w:t>
      </w:r>
    </w:p>
    <w:p w:rsidR="00884469" w:rsidRPr="000F3D4B" w:rsidRDefault="00884469" w:rsidP="00884469">
      <w:pPr>
        <w:spacing w:after="0"/>
        <w:rPr>
          <w:rFonts w:eastAsia="Calibri" w:cs="Tahoma"/>
          <w:spacing w:val="0"/>
          <w:sz w:val="20"/>
          <w:szCs w:val="20"/>
          <w:lang w:val="fr-FR"/>
        </w:rPr>
      </w:pPr>
      <w:r>
        <w:rPr>
          <w:rFonts w:eastAsia="Calibri" w:cs="Tahoma"/>
          <w:spacing w:val="0"/>
          <w:sz w:val="20"/>
          <w:szCs w:val="20"/>
          <w:lang w:val="fr-FR"/>
        </w:rPr>
        <w:t>200 Rue de Paris</w:t>
      </w:r>
    </w:p>
    <w:p w:rsidR="0039586A" w:rsidRPr="000F3D4B" w:rsidRDefault="0039586A" w:rsidP="0039586A">
      <w:pPr>
        <w:spacing w:after="0"/>
        <w:rPr>
          <w:rFonts w:eastAsia="Calibri" w:cs="Tahoma"/>
          <w:spacing w:val="0"/>
          <w:sz w:val="20"/>
          <w:szCs w:val="20"/>
        </w:rPr>
      </w:pPr>
      <w:r w:rsidRPr="000F3D4B">
        <w:rPr>
          <w:rFonts w:eastAsia="Calibri" w:cs="Tahoma"/>
          <w:spacing w:val="0"/>
          <w:sz w:val="20"/>
          <w:szCs w:val="20"/>
        </w:rPr>
        <w:t xml:space="preserve">67116 </w:t>
      </w:r>
      <w:proofErr w:type="spellStart"/>
      <w:r w:rsidRPr="000F3D4B">
        <w:rPr>
          <w:rFonts w:eastAsia="Calibri" w:cs="Tahoma"/>
          <w:spacing w:val="0"/>
          <w:sz w:val="20"/>
          <w:szCs w:val="20"/>
        </w:rPr>
        <w:t>Reichstett</w:t>
      </w:r>
      <w:proofErr w:type="spellEnd"/>
    </w:p>
    <w:p w:rsidR="0039586A" w:rsidRPr="000F3D4B" w:rsidRDefault="0039586A" w:rsidP="0039586A">
      <w:pPr>
        <w:spacing w:after="0"/>
        <w:rPr>
          <w:rFonts w:eastAsia="Calibri" w:cs="Tahoma"/>
          <w:spacing w:val="0"/>
          <w:sz w:val="20"/>
          <w:szCs w:val="20"/>
        </w:rPr>
      </w:pPr>
      <w:r w:rsidRPr="000F3D4B">
        <w:rPr>
          <w:rFonts w:eastAsia="Calibri" w:cs="Tahoma"/>
          <w:spacing w:val="0"/>
          <w:sz w:val="20"/>
          <w:szCs w:val="20"/>
        </w:rPr>
        <w:t>Tel : +33 3 67 10 62 26</w:t>
      </w:r>
    </w:p>
    <w:p w:rsidR="0039586A" w:rsidRPr="000F3D4B" w:rsidRDefault="0039586A" w:rsidP="0039586A">
      <w:pPr>
        <w:spacing w:after="0"/>
        <w:rPr>
          <w:rFonts w:cs="Tahoma"/>
          <w:sz w:val="20"/>
          <w:szCs w:val="20"/>
        </w:rPr>
      </w:pPr>
      <w:r w:rsidRPr="000F3D4B">
        <w:rPr>
          <w:rFonts w:eastAsia="Calibri" w:cs="Tahoma"/>
          <w:spacing w:val="0"/>
          <w:sz w:val="20"/>
          <w:szCs w:val="20"/>
        </w:rPr>
        <w:t>Fax: +33 3 67 10 65 50 ; www.birco.fr</w:t>
      </w:r>
    </w:p>
    <w:sectPr w:rsidR="0039586A" w:rsidRPr="000F3D4B" w:rsidSect="00D9699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65C" w:rsidRDefault="00B8165C" w:rsidP="008D279A">
      <w:pPr>
        <w:spacing w:after="0" w:line="240" w:lineRule="auto"/>
      </w:pPr>
      <w:r>
        <w:separator/>
      </w:r>
    </w:p>
  </w:endnote>
  <w:endnote w:type="continuationSeparator" w:id="0">
    <w:p w:rsidR="00B8165C" w:rsidRDefault="00B8165C" w:rsidP="008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8079"/>
      <w:docPartObj>
        <w:docPartGallery w:val="Page Numbers (Bottom of Page)"/>
        <w:docPartUnique/>
      </w:docPartObj>
    </w:sdtPr>
    <w:sdtEndPr/>
    <w:sdtContent>
      <w:p w:rsidR="00363F56" w:rsidRDefault="00326811" w:rsidP="006474D0">
        <w:pPr>
          <w:pStyle w:val="Fuzeile"/>
          <w:jc w:val="center"/>
        </w:pPr>
        <w:r>
          <w:fldChar w:fldCharType="begin"/>
        </w:r>
        <w:r>
          <w:instrText xml:space="preserve"> PAGE   \* MERGEFORMAT </w:instrText>
        </w:r>
        <w:r>
          <w:fldChar w:fldCharType="separate"/>
        </w:r>
        <w:r w:rsidR="0088446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65C" w:rsidRDefault="00B8165C" w:rsidP="008D279A">
      <w:pPr>
        <w:spacing w:after="0" w:line="240" w:lineRule="auto"/>
      </w:pPr>
      <w:r>
        <w:separator/>
      </w:r>
    </w:p>
  </w:footnote>
  <w:footnote w:type="continuationSeparator" w:id="0">
    <w:p w:rsidR="00B8165C" w:rsidRDefault="00B8165C" w:rsidP="008D2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56" w:rsidRDefault="00363F56" w:rsidP="008D279A">
    <w:pPr>
      <w:pStyle w:val="Kopfzeile"/>
      <w:jc w:val="right"/>
    </w:pPr>
    <w:r>
      <w:rPr>
        <w:noProof/>
        <w:lang w:eastAsia="de-DE"/>
      </w:rPr>
      <w:drawing>
        <wp:inline distT="0" distB="0" distL="0" distR="0">
          <wp:extent cx="2185416" cy="268224"/>
          <wp:effectExtent l="19050" t="0" r="5334" b="0"/>
          <wp:docPr id="1" name="Grafik 0" descr="BIRCO_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O_Logo-fr.jpg"/>
                  <pic:cNvPicPr/>
                </pic:nvPicPr>
                <pic:blipFill>
                  <a:blip r:embed="rId1"/>
                  <a:stretch>
                    <a:fillRect/>
                  </a:stretch>
                </pic:blipFill>
                <pic:spPr>
                  <a:xfrm>
                    <a:off x="0" y="0"/>
                    <a:ext cx="2185416" cy="268224"/>
                  </a:xfrm>
                  <a:prstGeom prst="rect">
                    <a:avLst/>
                  </a:prstGeom>
                </pic:spPr>
              </pic:pic>
            </a:graphicData>
          </a:graphic>
        </wp:inline>
      </w:drawing>
    </w:r>
  </w:p>
  <w:p w:rsidR="00363F56" w:rsidRDefault="00363F56">
    <w:pPr>
      <w:pStyle w:val="Kopfzeile"/>
    </w:pPr>
  </w:p>
  <w:p w:rsidR="00363F56" w:rsidRPr="004A009B" w:rsidRDefault="00363F56">
    <w:pPr>
      <w:pStyle w:val="Kopfzeile"/>
      <w:rPr>
        <w:b/>
        <w:sz w:val="24"/>
        <w:szCs w:val="24"/>
        <w:lang w:val="fr-FR"/>
      </w:rPr>
    </w:pPr>
    <w:r>
      <w:rPr>
        <w:b/>
        <w:sz w:val="24"/>
        <w:szCs w:val="24"/>
        <w:lang w:val="fr-FR"/>
      </w:rPr>
      <w:t>Texte d’appel d'</w:t>
    </w:r>
    <w:r w:rsidRPr="004A009B">
      <w:rPr>
        <w:b/>
        <w:sz w:val="24"/>
        <w:szCs w:val="24"/>
        <w:lang w:val="fr-FR"/>
      </w:rPr>
      <w:t xml:space="preserve">offres </w:t>
    </w:r>
    <w:r w:rsidR="001F03E3">
      <w:rPr>
        <w:b/>
        <w:sz w:val="24"/>
        <w:szCs w:val="24"/>
        <w:lang w:val="fr-FR"/>
      </w:rPr>
      <w:t xml:space="preserve">Chambre </w:t>
    </w:r>
    <w:proofErr w:type="spellStart"/>
    <w:r w:rsidR="001F03E3">
      <w:rPr>
        <w:b/>
        <w:sz w:val="24"/>
        <w:szCs w:val="24"/>
        <w:lang w:val="fr-FR"/>
      </w:rPr>
      <w:t>StormTech</w:t>
    </w:r>
    <w:proofErr w:type="spellEnd"/>
    <w:r w:rsidR="0002316D">
      <w:rPr>
        <w:rFonts w:cs="Tahoma"/>
        <w:b/>
        <w:sz w:val="24"/>
        <w:szCs w:val="24"/>
        <w:lang w:val="fr-FR"/>
      </w:rPr>
      <w:t>®</w:t>
    </w:r>
    <w:r w:rsidR="001F03E3">
      <w:rPr>
        <w:b/>
        <w:sz w:val="24"/>
        <w:szCs w:val="24"/>
        <w:lang w:val="fr-FR"/>
      </w:rPr>
      <w:t xml:space="preserve"> MC-</w:t>
    </w:r>
    <w:r w:rsidR="006D2EC0">
      <w:rPr>
        <w:b/>
        <w:sz w:val="24"/>
        <w:szCs w:val="24"/>
        <w:lang w:val="fr-FR"/>
      </w:rPr>
      <w:t>3</w:t>
    </w:r>
    <w:r w:rsidR="0039586A" w:rsidRPr="0039586A">
      <w:rPr>
        <w:b/>
        <w:sz w:val="24"/>
        <w:szCs w:val="24"/>
        <w:lang w:val="fr-FR"/>
      </w:rPr>
      <w:t>500</w:t>
    </w:r>
  </w:p>
  <w:p w:rsidR="00363F56" w:rsidRPr="004A009B" w:rsidRDefault="00363F56">
    <w:pPr>
      <w:pStyle w:val="Kopfzeil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2"/>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33"/>
    <w:rsid w:val="000159B3"/>
    <w:rsid w:val="0002316D"/>
    <w:rsid w:val="00041B12"/>
    <w:rsid w:val="00053C79"/>
    <w:rsid w:val="00080641"/>
    <w:rsid w:val="00085D27"/>
    <w:rsid w:val="00092D27"/>
    <w:rsid w:val="000A6933"/>
    <w:rsid w:val="000C72EC"/>
    <w:rsid w:val="000F3D4B"/>
    <w:rsid w:val="00122325"/>
    <w:rsid w:val="001333D1"/>
    <w:rsid w:val="00194B85"/>
    <w:rsid w:val="001A33DA"/>
    <w:rsid w:val="001A3786"/>
    <w:rsid w:val="001B36D9"/>
    <w:rsid w:val="001C484A"/>
    <w:rsid w:val="001F03E3"/>
    <w:rsid w:val="00220A75"/>
    <w:rsid w:val="00232A57"/>
    <w:rsid w:val="00243BEC"/>
    <w:rsid w:val="002509BF"/>
    <w:rsid w:val="00252783"/>
    <w:rsid w:val="00264836"/>
    <w:rsid w:val="00287D59"/>
    <w:rsid w:val="002A10D9"/>
    <w:rsid w:val="002D1A09"/>
    <w:rsid w:val="002D6092"/>
    <w:rsid w:val="002F14F6"/>
    <w:rsid w:val="00303CA1"/>
    <w:rsid w:val="00310C07"/>
    <w:rsid w:val="00312604"/>
    <w:rsid w:val="003246B9"/>
    <w:rsid w:val="00324CE4"/>
    <w:rsid w:val="00326811"/>
    <w:rsid w:val="003570AE"/>
    <w:rsid w:val="00363D9B"/>
    <w:rsid w:val="00363F56"/>
    <w:rsid w:val="003801C2"/>
    <w:rsid w:val="00382C33"/>
    <w:rsid w:val="0039586A"/>
    <w:rsid w:val="003A0E92"/>
    <w:rsid w:val="003B11B5"/>
    <w:rsid w:val="003D4F4A"/>
    <w:rsid w:val="00472BBC"/>
    <w:rsid w:val="00485C65"/>
    <w:rsid w:val="00485D22"/>
    <w:rsid w:val="00487084"/>
    <w:rsid w:val="0049197C"/>
    <w:rsid w:val="004A009B"/>
    <w:rsid w:val="004C5A25"/>
    <w:rsid w:val="004C7F24"/>
    <w:rsid w:val="004D338F"/>
    <w:rsid w:val="004E39A2"/>
    <w:rsid w:val="004E3FCC"/>
    <w:rsid w:val="004E53E1"/>
    <w:rsid w:val="00503FBC"/>
    <w:rsid w:val="00504004"/>
    <w:rsid w:val="00507441"/>
    <w:rsid w:val="005123FC"/>
    <w:rsid w:val="005269CD"/>
    <w:rsid w:val="00531B89"/>
    <w:rsid w:val="00535AC3"/>
    <w:rsid w:val="005438A7"/>
    <w:rsid w:val="00545D55"/>
    <w:rsid w:val="0055026B"/>
    <w:rsid w:val="005B00D1"/>
    <w:rsid w:val="005C76D9"/>
    <w:rsid w:val="005D1D2F"/>
    <w:rsid w:val="005F0891"/>
    <w:rsid w:val="0060273E"/>
    <w:rsid w:val="006174BB"/>
    <w:rsid w:val="0062682A"/>
    <w:rsid w:val="006474D0"/>
    <w:rsid w:val="006A3A17"/>
    <w:rsid w:val="006A6992"/>
    <w:rsid w:val="006C6317"/>
    <w:rsid w:val="006D2EC0"/>
    <w:rsid w:val="006D37EA"/>
    <w:rsid w:val="006E5AB6"/>
    <w:rsid w:val="00700D93"/>
    <w:rsid w:val="007020C3"/>
    <w:rsid w:val="00735F2D"/>
    <w:rsid w:val="0074101B"/>
    <w:rsid w:val="00753659"/>
    <w:rsid w:val="00793787"/>
    <w:rsid w:val="007A12BE"/>
    <w:rsid w:val="007B1F0C"/>
    <w:rsid w:val="007D1A9C"/>
    <w:rsid w:val="007D1C28"/>
    <w:rsid w:val="007E3553"/>
    <w:rsid w:val="007E7C40"/>
    <w:rsid w:val="0085642B"/>
    <w:rsid w:val="00860F0E"/>
    <w:rsid w:val="008745D5"/>
    <w:rsid w:val="00884469"/>
    <w:rsid w:val="00892A78"/>
    <w:rsid w:val="008D279A"/>
    <w:rsid w:val="008F3701"/>
    <w:rsid w:val="00910216"/>
    <w:rsid w:val="00912841"/>
    <w:rsid w:val="00912A92"/>
    <w:rsid w:val="00963B30"/>
    <w:rsid w:val="009C1E60"/>
    <w:rsid w:val="00A076C7"/>
    <w:rsid w:val="00A10FE5"/>
    <w:rsid w:val="00A32AB4"/>
    <w:rsid w:val="00A56582"/>
    <w:rsid w:val="00A81DFD"/>
    <w:rsid w:val="00AB215C"/>
    <w:rsid w:val="00AB4E00"/>
    <w:rsid w:val="00AB6AD8"/>
    <w:rsid w:val="00AD3771"/>
    <w:rsid w:val="00B00292"/>
    <w:rsid w:val="00B06E69"/>
    <w:rsid w:val="00B105CE"/>
    <w:rsid w:val="00B113E6"/>
    <w:rsid w:val="00B3530C"/>
    <w:rsid w:val="00B35E5D"/>
    <w:rsid w:val="00B36EAE"/>
    <w:rsid w:val="00B42B51"/>
    <w:rsid w:val="00B434F1"/>
    <w:rsid w:val="00B44771"/>
    <w:rsid w:val="00B4571E"/>
    <w:rsid w:val="00B4719C"/>
    <w:rsid w:val="00B625A9"/>
    <w:rsid w:val="00B8165C"/>
    <w:rsid w:val="00B82EFD"/>
    <w:rsid w:val="00B84B97"/>
    <w:rsid w:val="00BC2D59"/>
    <w:rsid w:val="00BC609A"/>
    <w:rsid w:val="00BC7E7B"/>
    <w:rsid w:val="00BC7F70"/>
    <w:rsid w:val="00BD3407"/>
    <w:rsid w:val="00C42D38"/>
    <w:rsid w:val="00C671EA"/>
    <w:rsid w:val="00C92C60"/>
    <w:rsid w:val="00CA6D1C"/>
    <w:rsid w:val="00CC18F0"/>
    <w:rsid w:val="00CC2B65"/>
    <w:rsid w:val="00CE3218"/>
    <w:rsid w:val="00D21878"/>
    <w:rsid w:val="00D5124C"/>
    <w:rsid w:val="00D9699E"/>
    <w:rsid w:val="00DB30A0"/>
    <w:rsid w:val="00DD4BF0"/>
    <w:rsid w:val="00DF0781"/>
    <w:rsid w:val="00E76A4D"/>
    <w:rsid w:val="00E84660"/>
    <w:rsid w:val="00E937CA"/>
    <w:rsid w:val="00EB412B"/>
    <w:rsid w:val="00EF4408"/>
    <w:rsid w:val="00F12770"/>
    <w:rsid w:val="00F12EAF"/>
    <w:rsid w:val="00F317D3"/>
    <w:rsid w:val="00F620F3"/>
    <w:rsid w:val="00F76536"/>
    <w:rsid w:val="00F851DA"/>
    <w:rsid w:val="00F94EC4"/>
    <w:rsid w:val="00F97003"/>
    <w:rsid w:val="00FA3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952E5C"/>
  <w15:docId w15:val="{EEE9A451-FB1A-4A39-BB80-7D3E7CED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pacing w:val="4"/>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03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2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D279A"/>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8D279A"/>
    <w:rPr>
      <w:rFonts w:cs="Tahoma"/>
      <w:sz w:val="16"/>
      <w:szCs w:val="16"/>
    </w:rPr>
  </w:style>
  <w:style w:type="paragraph" w:styleId="Kopfzeile">
    <w:name w:val="header"/>
    <w:basedOn w:val="Standard"/>
    <w:link w:val="KopfzeileZchn"/>
    <w:uiPriority w:val="99"/>
    <w:unhideWhenUsed/>
    <w:rsid w:val="008D27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279A"/>
  </w:style>
  <w:style w:type="paragraph" w:styleId="Fuzeile">
    <w:name w:val="footer"/>
    <w:basedOn w:val="Standard"/>
    <w:link w:val="FuzeileZchn"/>
    <w:uiPriority w:val="99"/>
    <w:unhideWhenUsed/>
    <w:rsid w:val="008D27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279A"/>
  </w:style>
  <w:style w:type="character" w:styleId="Hyperlink">
    <w:name w:val="Hyperlink"/>
    <w:basedOn w:val="Absatz-Standardschriftart"/>
    <w:uiPriority w:val="99"/>
    <w:unhideWhenUsed/>
    <w:rsid w:val="00B82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75713">
      <w:bodyDiv w:val="1"/>
      <w:marLeft w:val="0"/>
      <w:marRight w:val="0"/>
      <w:marTop w:val="0"/>
      <w:marBottom w:val="0"/>
      <w:divBdr>
        <w:top w:val="none" w:sz="0" w:space="0" w:color="auto"/>
        <w:left w:val="none" w:sz="0" w:space="0" w:color="auto"/>
        <w:bottom w:val="none" w:sz="0" w:space="0" w:color="auto"/>
        <w:right w:val="none" w:sz="0" w:space="0" w:color="auto"/>
      </w:divBdr>
    </w:div>
    <w:div w:id="594246350">
      <w:bodyDiv w:val="1"/>
      <w:marLeft w:val="0"/>
      <w:marRight w:val="0"/>
      <w:marTop w:val="0"/>
      <w:marBottom w:val="0"/>
      <w:divBdr>
        <w:top w:val="none" w:sz="0" w:space="0" w:color="auto"/>
        <w:left w:val="none" w:sz="0" w:space="0" w:color="auto"/>
        <w:bottom w:val="none" w:sz="0" w:space="0" w:color="auto"/>
        <w:right w:val="none" w:sz="0" w:space="0" w:color="auto"/>
      </w:divBdr>
    </w:div>
    <w:div w:id="1242831855">
      <w:bodyDiv w:val="1"/>
      <w:marLeft w:val="0"/>
      <w:marRight w:val="0"/>
      <w:marTop w:val="0"/>
      <w:marBottom w:val="0"/>
      <w:divBdr>
        <w:top w:val="none" w:sz="0" w:space="0" w:color="auto"/>
        <w:left w:val="none" w:sz="0" w:space="0" w:color="auto"/>
        <w:bottom w:val="none" w:sz="0" w:space="0" w:color="auto"/>
        <w:right w:val="none" w:sz="0" w:space="0" w:color="auto"/>
      </w:divBdr>
    </w:div>
    <w:div w:id="1389039037">
      <w:bodyDiv w:val="1"/>
      <w:marLeft w:val="0"/>
      <w:marRight w:val="0"/>
      <w:marTop w:val="0"/>
      <w:marBottom w:val="0"/>
      <w:divBdr>
        <w:top w:val="none" w:sz="0" w:space="0" w:color="auto"/>
        <w:left w:val="none" w:sz="0" w:space="0" w:color="auto"/>
        <w:bottom w:val="none" w:sz="0" w:space="0" w:color="auto"/>
        <w:right w:val="none" w:sz="0" w:space="0" w:color="auto"/>
      </w:divBdr>
    </w:div>
    <w:div w:id="1391228553">
      <w:bodyDiv w:val="1"/>
      <w:marLeft w:val="0"/>
      <w:marRight w:val="0"/>
      <w:marTop w:val="0"/>
      <w:marBottom w:val="0"/>
      <w:divBdr>
        <w:top w:val="none" w:sz="0" w:space="0" w:color="auto"/>
        <w:left w:val="none" w:sz="0" w:space="0" w:color="auto"/>
        <w:bottom w:val="none" w:sz="0" w:space="0" w:color="auto"/>
        <w:right w:val="none" w:sz="0" w:space="0" w:color="auto"/>
      </w:divBdr>
    </w:div>
    <w:div w:id="1634797295">
      <w:bodyDiv w:val="1"/>
      <w:marLeft w:val="0"/>
      <w:marRight w:val="0"/>
      <w:marTop w:val="0"/>
      <w:marBottom w:val="0"/>
      <w:divBdr>
        <w:top w:val="none" w:sz="0" w:space="0" w:color="auto"/>
        <w:left w:val="none" w:sz="0" w:space="0" w:color="auto"/>
        <w:bottom w:val="none" w:sz="0" w:space="0" w:color="auto"/>
        <w:right w:val="none" w:sz="0" w:space="0" w:color="auto"/>
      </w:divBdr>
    </w:div>
    <w:div w:id="1758790673">
      <w:bodyDiv w:val="1"/>
      <w:marLeft w:val="0"/>
      <w:marRight w:val="0"/>
      <w:marTop w:val="0"/>
      <w:marBottom w:val="0"/>
      <w:divBdr>
        <w:top w:val="none" w:sz="0" w:space="0" w:color="auto"/>
        <w:left w:val="none" w:sz="0" w:space="0" w:color="auto"/>
        <w:bottom w:val="none" w:sz="0" w:space="0" w:color="auto"/>
        <w:right w:val="none" w:sz="0" w:space="0" w:color="auto"/>
      </w:divBdr>
    </w:div>
    <w:div w:id="2026011259">
      <w:bodyDiv w:val="1"/>
      <w:marLeft w:val="0"/>
      <w:marRight w:val="0"/>
      <w:marTop w:val="0"/>
      <w:marBottom w:val="0"/>
      <w:divBdr>
        <w:top w:val="none" w:sz="0" w:space="0" w:color="auto"/>
        <w:left w:val="none" w:sz="0" w:space="0" w:color="auto"/>
        <w:bottom w:val="none" w:sz="0" w:space="0" w:color="auto"/>
        <w:right w:val="none" w:sz="0" w:space="0" w:color="auto"/>
      </w:divBdr>
    </w:div>
    <w:div w:id="20467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E200-5A0D-42C8-909B-491760BF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9B8FB2FA.dotm</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BIRCO Baustoffwerke GmbH</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emh</dc:creator>
  <cp:lastModifiedBy>Kajnath, Anais</cp:lastModifiedBy>
  <cp:revision>7</cp:revision>
  <cp:lastPrinted>2010-08-02T07:17:00Z</cp:lastPrinted>
  <dcterms:created xsi:type="dcterms:W3CDTF">2018-02-28T12:56:00Z</dcterms:created>
  <dcterms:modified xsi:type="dcterms:W3CDTF">2019-07-25T14:10:00Z</dcterms:modified>
</cp:coreProperties>
</file>